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4"/>
        <w:jc w:val="center"/>
        <w:rPr>
          <w:b/>
          <w:sz w:val="28"/>
        </w:rPr>
      </w:pPr>
      <w:r>
        <w:rPr>
          <w:b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-228599</wp:posOffset>
                </wp:positionV>
                <wp:extent cx="476250" cy="5715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2;o:allowoverlap:true;o:allowincell:true;mso-position-horizontal-relative:text;margin-left:207.0pt;mso-position-horizontal:absolute;mso-position-vertical-relative:text;margin-top:-18.0pt;mso-position-vertical:absolute;width:37.5pt;height:45.0pt;mso-wrap-distance-left:9.0pt;mso-wrap-distance-top:0.0pt;mso-wrap-distance-right:9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sz w:val="28"/>
        </w:rPr>
        <w:t xml:space="preserve">бюдж</w:t>
      </w:r>
      <w:r>
        <w:rPr>
          <w:b/>
          <w:sz w:val="28"/>
        </w:rPr>
      </w:r>
      <w:r/>
    </w:p>
    <w:p>
      <w:pPr>
        <w:pStyle w:val="814"/>
        <w:jc w:val="center"/>
        <w:rPr>
          <w:b/>
          <w:sz w:val="28"/>
        </w:rPr>
      </w:pPr>
      <w:r>
        <w:rPr>
          <w:b/>
          <w:sz w:val="28"/>
        </w:rPr>
      </w:r>
      <w:r/>
    </w:p>
    <w:p>
      <w:pPr>
        <w:pStyle w:val="814"/>
        <w:jc w:val="center"/>
        <w:rPr>
          <w:b/>
          <w:sz w:val="28"/>
        </w:rPr>
      </w:pPr>
      <w:r>
        <w:rPr>
          <w:b/>
          <w:sz w:val="28"/>
        </w:rPr>
        <w:t xml:space="preserve">А</w:t>
      </w:r>
      <w:r>
        <w:rPr>
          <w:b/>
          <w:sz w:val="28"/>
        </w:rPr>
        <w:t xml:space="preserve">ДМИНИСТРАЦИЯ</w:t>
      </w:r>
      <w:r>
        <w:rPr>
          <w:b/>
          <w:sz w:val="28"/>
        </w:rPr>
      </w:r>
      <w:r/>
    </w:p>
    <w:p>
      <w:pPr>
        <w:pStyle w:val="814"/>
        <w:jc w:val="center"/>
        <w:rPr>
          <w:b/>
          <w:sz w:val="28"/>
        </w:rPr>
      </w:pPr>
      <w:r>
        <w:rPr>
          <w:b/>
          <w:sz w:val="28"/>
        </w:rPr>
        <w:t xml:space="preserve">КОЛЫВАНСКОГО РАЙОНА</w:t>
      </w:r>
      <w:r/>
    </w:p>
    <w:p>
      <w:pPr>
        <w:pStyle w:val="815"/>
      </w:pPr>
      <w:r>
        <w:t xml:space="preserve">НОВОСИБИРСКОЙ ОБЛАСТИ</w:t>
      </w:r>
      <w:r/>
    </w:p>
    <w:p>
      <w:pPr>
        <w:pStyle w:val="814"/>
        <w:jc w:val="center"/>
        <w:rPr>
          <w:sz w:val="28"/>
        </w:rPr>
      </w:pPr>
      <w:r>
        <w:rPr>
          <w:sz w:val="28"/>
        </w:rPr>
      </w:r>
      <w:r/>
    </w:p>
    <w:p>
      <w:pPr>
        <w:pStyle w:val="814"/>
        <w:jc w:val="center"/>
        <w:rPr>
          <w:sz w:val="22"/>
        </w:rPr>
      </w:pPr>
      <w:r>
        <w:rPr>
          <w:sz w:val="22"/>
        </w:rPr>
        <w:t xml:space="preserve">63316</w:t>
      </w:r>
      <w:r>
        <w:rPr>
          <w:sz w:val="22"/>
        </w:rPr>
        <w:t xml:space="preserve">2</w:t>
      </w:r>
      <w:r>
        <w:rPr>
          <w:sz w:val="22"/>
        </w:rPr>
        <w:t xml:space="preserve"> НСО, р.п. Колывань</w:t>
      </w:r>
      <w:r/>
    </w:p>
    <w:p>
      <w:pPr>
        <w:pStyle w:val="814"/>
        <w:jc w:val="center"/>
        <w:rPr>
          <w:sz w:val="22"/>
        </w:rPr>
      </w:pPr>
      <w:r>
        <w:rPr>
          <w:sz w:val="22"/>
        </w:rPr>
        <w:t xml:space="preserve">ул.Ленина, 79</w:t>
      </w:r>
      <w:r/>
    </w:p>
    <w:p>
      <w:pPr>
        <w:pStyle w:val="814"/>
        <w:jc w:val="center"/>
      </w:pPr>
      <w:r>
        <w:rPr>
          <w:sz w:val="22"/>
          <w:lang w:val="en-US"/>
        </w:rPr>
        <w:t xml:space="preserve">koluvan</w:t>
      </w:r>
      <w:r>
        <w:rPr>
          <w:sz w:val="22"/>
        </w:rPr>
        <w:t xml:space="preserve">-</w:t>
      </w:r>
      <w:r>
        <w:rPr>
          <w:sz w:val="22"/>
          <w:lang w:val="en-US"/>
        </w:rPr>
        <w:t xml:space="preserve">adm</w:t>
      </w:r>
      <w:r>
        <w:rPr>
          <w:sz w:val="22"/>
        </w:rPr>
        <w:t xml:space="preserve">@</w:t>
      </w:r>
      <w:r>
        <w:rPr>
          <w:sz w:val="22"/>
          <w:lang w:val="en-US"/>
        </w:rPr>
        <w:t xml:space="preserve">yandex</w:t>
      </w:r>
      <w:r>
        <w:rPr>
          <w:sz w:val="22"/>
        </w:rPr>
        <w:t xml:space="preserve">.</w:t>
      </w:r>
      <w:r>
        <w:rPr>
          <w:sz w:val="22"/>
          <w:lang w:val="en-US"/>
        </w:rPr>
        <w:t xml:space="preserve">ru</w:t>
      </w:r>
      <w:r/>
    </w:p>
    <w:p>
      <w:pPr>
        <w:pStyle w:val="814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172085</wp:posOffset>
                </wp:positionV>
                <wp:extent cx="2209800" cy="81407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209800" cy="81407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14"/>
                            </w:pPr>
                            <w:r/>
                            <w:r/>
                          </w:p>
                          <w:p>
                            <w:pPr>
                              <w:pStyle w:val="814"/>
                            </w:pPr>
                            <w:r/>
                            <w:r/>
                          </w:p>
                          <w:p>
                            <w:pPr>
                              <w:pStyle w:val="81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от      _________.№___</w:t>
                            </w:r>
                            <w:r/>
                          </w:p>
                          <w:p>
                            <w:pPr>
                              <w:pStyle w:val="81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 На №________от_______</w:t>
                            </w:r>
                            <w:r/>
                          </w:p>
                          <w:p>
                            <w:pPr>
                              <w:pStyle w:val="814"/>
                            </w:pPr>
                            <w:r/>
                            <w:r/>
                          </w:p>
                        </w:txbxContent>
                      </wps:txbx>
                      <wps:bodyPr wrap="square" lIns="12700" tIns="12700" rIns="12700" bIns="12700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type="#_x0000_t1" style="position:absolute;z-index:524288;o:allowoverlap:true;o:allowincell:true;mso-position-horizontal-relative:text;margin-left:1.1pt;mso-position-horizontal:absolute;mso-position-vertical-relative:text;margin-top:13.5pt;mso-position-vertical:absolute;width:174.0pt;height:64.1pt;mso-wrap-distance-left:9.0pt;mso-wrap-distance-top:0.0pt;mso-wrap-distance-right:9.0pt;mso-wrap-distance-bottom:0.0pt;visibility:visible;" filled="f" stroked="f" strokeweight="0.25pt">
                <v:textbox inset="0,0,0,0">
                  <w:txbxContent>
                    <w:p>
                      <w:pPr>
                        <w:pStyle w:val="814"/>
                      </w:pPr>
                      <w:r/>
                      <w:r/>
                    </w:p>
                    <w:p>
                      <w:pPr>
                        <w:pStyle w:val="814"/>
                      </w:pPr>
                      <w:r/>
                      <w:r/>
                    </w:p>
                    <w:p>
                      <w:pPr>
                        <w:pStyle w:val="814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от      _________.№___</w:t>
                      </w:r>
                      <w:r/>
                    </w:p>
                    <w:p>
                      <w:pPr>
                        <w:pStyle w:val="814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 На №________от_______</w:t>
                      </w:r>
                      <w:r/>
                    </w:p>
                    <w:p>
                      <w:pPr>
                        <w:pStyle w:val="814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pStyle w:val="814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2912745</wp:posOffset>
                </wp:positionH>
                <wp:positionV relativeFrom="paragraph">
                  <wp:posOffset>73025</wp:posOffset>
                </wp:positionV>
                <wp:extent cx="2750185" cy="1464310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750185" cy="146431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14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Председателю Совета депутатов</w:t>
                            </w:r>
                            <w:r/>
                          </w:p>
                          <w:p>
                            <w:pPr>
                              <w:pStyle w:val="814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Колыванского района Новосибирской области </w:t>
                            </w:r>
                            <w:r/>
                          </w:p>
                          <w:p>
                            <w:pPr>
                              <w:pStyle w:val="814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Вепревой И.М.</w:t>
                            </w:r>
                            <w:r/>
                          </w:p>
                          <w:p>
                            <w:pPr>
                              <w:pStyle w:val="814"/>
                            </w:pPr>
                            <w:r/>
                            <w:r/>
                          </w:p>
                        </w:txbxContent>
                      </wps:txbx>
                      <wps:bodyPr wrap="square" lIns="12700" tIns="12700" rIns="12700" bIns="12700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type="#_x0000_t1" style="position:absolute;z-index:251658241;o:allowoverlap:true;o:allowincell:true;mso-position-horizontal-relative:text;margin-left:229.3pt;mso-position-horizontal:absolute;mso-position-vertical-relative:text;margin-top:5.8pt;mso-position-vertical:absolute;width:216.5pt;height:115.3pt;mso-wrap-distance-left:9.0pt;mso-wrap-distance-top:0.0pt;mso-wrap-distance-right:9.0pt;mso-wrap-distance-bottom:0.0pt;visibility:visible;" filled="f" stroked="f" strokeweight="0.25pt">
                <v:textbox inset="0,0,0,0">
                  <w:txbxContent>
                    <w:p>
                      <w:pPr>
                        <w:pStyle w:val="814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Председателю Совета депутатов</w:t>
                      </w:r>
                      <w:r/>
                    </w:p>
                    <w:p>
                      <w:pPr>
                        <w:pStyle w:val="814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Колыванского района Новосибирской области </w:t>
                      </w:r>
                      <w:r/>
                    </w:p>
                    <w:p>
                      <w:pPr>
                        <w:pStyle w:val="814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Вепревой И.М.</w:t>
                      </w:r>
                      <w:r/>
                    </w:p>
                    <w:p>
                      <w:pPr>
                        <w:pStyle w:val="814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pStyle w:val="814"/>
        <w:tabs>
          <w:tab w:val="left" w:pos="4020" w:leader="none"/>
        </w:tabs>
      </w:pPr>
      <w:r/>
      <w:r/>
    </w:p>
    <w:p>
      <w:pPr>
        <w:pStyle w:val="814"/>
      </w:pPr>
      <w:r/>
      <w:r/>
    </w:p>
    <w:p>
      <w:pPr>
        <w:pStyle w:val="814"/>
      </w:pPr>
      <w:r/>
      <w:r/>
    </w:p>
    <w:p>
      <w:pPr>
        <w:pStyle w:val="814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1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/>
    </w:p>
    <w:p>
      <w:pPr>
        <w:pStyle w:val="825"/>
        <w:jc w:val="center"/>
        <w:tabs>
          <w:tab w:val="clear" w:pos="4153" w:leader="none"/>
          <w:tab w:val="clear" w:pos="8306" w:leader="none"/>
        </w:tabs>
      </w:pPr>
      <w:r/>
      <w:r/>
    </w:p>
    <w:p>
      <w:pPr>
        <w:pStyle w:val="825"/>
        <w:jc w:val="center"/>
        <w:tabs>
          <w:tab w:val="clear" w:pos="4153" w:leader="none"/>
          <w:tab w:val="clear" w:pos="8306" w:leader="none"/>
        </w:tabs>
      </w:pPr>
      <w:r/>
      <w:r/>
    </w:p>
    <w:p>
      <w:pPr>
        <w:pStyle w:val="814"/>
        <w:jc w:val="both"/>
        <w:rPr>
          <w:sz w:val="28"/>
        </w:rPr>
      </w:pPr>
      <w:r>
        <w:rPr>
          <w:sz w:val="28"/>
        </w:rPr>
        <w:t xml:space="preserve">                                  </w:t>
      </w:r>
      <w:r>
        <w:rPr>
          <w:sz w:val="28"/>
        </w:rPr>
      </w:r>
      <w:r/>
    </w:p>
    <w:p>
      <w:pPr>
        <w:pStyle w:val="814"/>
        <w:jc w:val="both"/>
        <w:rPr>
          <w:sz w:val="28"/>
        </w:rPr>
      </w:pPr>
      <w:r>
        <w:rPr>
          <w:sz w:val="28"/>
        </w:rPr>
        <w:t xml:space="preserve">                                 </w:t>
      </w:r>
      <w:r>
        <w:rPr>
          <w:sz w:val="28"/>
        </w:rPr>
        <w:t xml:space="preserve">Уважаемая </w:t>
      </w:r>
      <w:r>
        <w:rPr>
          <w:sz w:val="28"/>
        </w:rPr>
        <w:t xml:space="preserve">Ирина Михайловна</w:t>
      </w:r>
      <w:r>
        <w:rPr>
          <w:sz w:val="28"/>
        </w:rPr>
        <w:t xml:space="preserve">!</w:t>
      </w:r>
      <w:r>
        <w:rPr>
          <w:sz w:val="28"/>
        </w:rPr>
      </w:r>
      <w:r/>
    </w:p>
    <w:p>
      <w:pPr>
        <w:pStyle w:val="814"/>
        <w:jc w:val="both"/>
        <w:rPr>
          <w:sz w:val="28"/>
        </w:rPr>
      </w:pPr>
      <w:r>
        <w:rPr>
          <w:sz w:val="28"/>
        </w:rPr>
      </w:r>
      <w:r/>
    </w:p>
    <w:p>
      <w:pPr>
        <w:pStyle w:val="814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60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62 </w:t>
      </w:r>
      <w:r>
        <w:rPr>
          <w:sz w:val="28"/>
          <w:szCs w:val="28"/>
        </w:rPr>
        <w:t xml:space="preserve">   Положен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« О бюджетном процессе в муниципальном образовании Колыванск</w:t>
      </w:r>
      <w:r>
        <w:rPr>
          <w:sz w:val="28"/>
          <w:szCs w:val="28"/>
        </w:rPr>
        <w:t xml:space="preserve">ий</w:t>
      </w:r>
      <w:r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он</w:t>
      </w:r>
      <w:r>
        <w:rPr>
          <w:sz w:val="28"/>
          <w:szCs w:val="28"/>
        </w:rPr>
        <w:t xml:space="preserve"> Новосибирской области»</w:t>
      </w:r>
      <w:r>
        <w:rPr>
          <w:sz w:val="28"/>
          <w:szCs w:val="28"/>
        </w:rPr>
        <w:t xml:space="preserve"> , направляю Вам перечень документов с н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обходимой информацией по</w:t>
      </w:r>
      <w:r>
        <w:rPr>
          <w:sz w:val="28"/>
          <w:szCs w:val="28"/>
        </w:rPr>
        <w:t xml:space="preserve"> исполнению</w:t>
      </w:r>
      <w:r>
        <w:rPr>
          <w:sz w:val="28"/>
          <w:szCs w:val="28"/>
        </w:rPr>
        <w:t xml:space="preserve"> бюджета Колыванского района Новосибирской области </w:t>
      </w:r>
      <w:r>
        <w:rPr>
          <w:sz w:val="28"/>
          <w:szCs w:val="28"/>
        </w:rPr>
        <w:t xml:space="preserve">за</w:t>
      </w:r>
      <w:r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</w:t>
      </w:r>
      <w:r>
        <w:rPr>
          <w:sz w:val="28"/>
          <w:szCs w:val="28"/>
          <w:lang w:val="en-US"/>
        </w:rPr>
        <w:t xml:space="preserve">3</w:t>
      </w:r>
      <w:r>
        <w:rPr>
          <w:sz w:val="28"/>
          <w:szCs w:val="28"/>
        </w:rPr>
        <w:t xml:space="preserve"> год для рассмотрения и утверждения : </w:t>
      </w:r>
      <w:r>
        <w:rPr>
          <w:sz w:val="28"/>
          <w:szCs w:val="28"/>
        </w:rPr>
      </w:r>
      <w:r/>
    </w:p>
    <w:p>
      <w:pPr>
        <w:pStyle w:val="81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роект Решения Совета депутатов Колыванского района Новосибирской области 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б утверждении отчета об исполнении бюджета муниципального образования Колыванского района Новосибирской области за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  <w:lang w:val="en-US"/>
        </w:rPr>
        <w:t xml:space="preserve">3</w:t>
      </w:r>
      <w:r>
        <w:rPr>
          <w:sz w:val="28"/>
          <w:szCs w:val="28"/>
        </w:rPr>
        <w:t xml:space="preserve"> год;</w:t>
      </w:r>
      <w:r/>
    </w:p>
    <w:p>
      <w:pPr>
        <w:pStyle w:val="814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 xml:space="preserve">2</w:t>
      </w:r>
      <w:r>
        <w:rPr>
          <w:sz w:val="28"/>
          <w:szCs w:val="28"/>
        </w:rPr>
        <w:t xml:space="preserve">) о</w:t>
      </w:r>
      <w:r>
        <w:rPr>
          <w:sz w:val="28"/>
          <w:szCs w:val="28"/>
        </w:rPr>
        <w:t xml:space="preserve">тчет об использовании бюджетных ассигнований резервного фонда </w:t>
      </w:r>
      <w:r>
        <w:rPr>
          <w:sz w:val="28"/>
          <w:szCs w:val="28"/>
        </w:rPr>
        <w:t xml:space="preserve">Администрации Колыванского района Новосибирской области</w:t>
      </w:r>
      <w:r>
        <w:rPr>
          <w:sz w:val="28"/>
          <w:szCs w:val="28"/>
        </w:rPr>
        <w:t xml:space="preserve">;</w:t>
      </w:r>
      <w:r/>
    </w:p>
    <w:p>
      <w:pPr>
        <w:pStyle w:val="814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 xml:space="preserve">3</w:t>
      </w:r>
      <w:r>
        <w:rPr>
          <w:sz w:val="28"/>
          <w:szCs w:val="28"/>
        </w:rPr>
        <w:t xml:space="preserve">) структура муниципального долга Колыванского района Новосибирской области по состоянию на первое число года, следующего за отчетным.</w:t>
      </w:r>
      <w:r/>
    </w:p>
    <w:p>
      <w:pPr>
        <w:pStyle w:val="8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 xml:space="preserve">4</w:t>
      </w:r>
      <w:r>
        <w:rPr>
          <w:sz w:val="28"/>
          <w:szCs w:val="28"/>
        </w:rPr>
        <w:t xml:space="preserve">) отчет о доходах, полученных от использо</w:t>
      </w:r>
      <w:r>
        <w:rPr>
          <w:sz w:val="28"/>
          <w:szCs w:val="28"/>
        </w:rPr>
        <w:t xml:space="preserve">вания и продажи муниципального имущества Колыванского района Новосибирской области  находящегося в муниципальной собственности Колыванского района  Новосибирской области, после уплаты налогов и сборов, предусмотренных законодательством о налогах и сборах; </w:t>
      </w:r>
      <w:r/>
    </w:p>
    <w:p>
      <w:pPr>
        <w:pStyle w:val="814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 xml:space="preserve">5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данные реестра муниципальной собственности Колыванского района Новосибирской области об муниципальных унитарных предприятиях Колыванского  района Новосибирской области и муниципальных учреждениях Колыванского района Новосибирской области, акциях хозяйстве</w:t>
      </w:r>
      <w:r>
        <w:rPr>
          <w:sz w:val="28"/>
          <w:szCs w:val="28"/>
        </w:rPr>
        <w:t xml:space="preserve">нных обществ и недвижимом имуществе (в том числе земельных участках и дорогах), находящихся в собственности Колыванского района Новосибирской области на первый и последний день отчетного финансового года, с пояснительной запиской о произошедших изменениях;</w:t>
      </w:r>
      <w:r/>
      <w:r>
        <w:rPr>
          <w:sz w:val="28"/>
          <w:szCs w:val="28"/>
        </w:rPr>
      </w:r>
      <w:r/>
      <w:r>
        <w:rPr>
          <w:sz w:val="28"/>
          <w:szCs w:val="28"/>
        </w:rPr>
      </w:r>
    </w:p>
    <w:p>
      <w:pPr>
        <w:pStyle w:val="814"/>
        <w:jc w:val="both"/>
        <w:tabs>
          <w:tab w:val="left" w:pos="1134" w:leader="none"/>
        </w:tabs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</w:t>
      </w:r>
      <w:r>
        <w:rPr>
          <w:spacing w:val="-2"/>
          <w:sz w:val="28"/>
          <w:szCs w:val="28"/>
          <w:lang w:val="en-US"/>
        </w:rPr>
        <w:t xml:space="preserve">6</w:t>
      </w:r>
      <w:r>
        <w:rPr>
          <w:spacing w:val="-2"/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Пояснительную записку (в свободной форме)</w:t>
      </w:r>
      <w:r>
        <w:rPr>
          <w:spacing w:val="-2"/>
          <w:sz w:val="28"/>
          <w:szCs w:val="28"/>
        </w:rPr>
        <w:t xml:space="preserve">. </w:t>
      </w:r>
      <w:r/>
    </w:p>
    <w:p>
      <w:pPr>
        <w:pStyle w:val="814"/>
        <w:jc w:val="both"/>
        <w:tabs>
          <w:tab w:val="left" w:pos="1134" w:leader="none"/>
        </w:tabs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   В дополнение к вышеперечисленному перечню документов,  предста</w:t>
      </w:r>
      <w:r>
        <w:rPr>
          <w:spacing w:val="-2"/>
          <w:sz w:val="28"/>
          <w:szCs w:val="28"/>
        </w:rPr>
        <w:t xml:space="preserve">в</w:t>
      </w:r>
      <w:r>
        <w:rPr>
          <w:spacing w:val="-2"/>
          <w:sz w:val="28"/>
          <w:szCs w:val="28"/>
        </w:rPr>
        <w:t xml:space="preserve">лены дополнительные 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и материалы в соответствии с Полож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нием «О бюджетном процессе в </w:t>
      </w:r>
      <w:r>
        <w:rPr>
          <w:sz w:val="28"/>
          <w:szCs w:val="28"/>
        </w:rPr>
        <w:t xml:space="preserve">муниципальном образовании Колыва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ский район Новосибирской области</w:t>
      </w:r>
      <w:r>
        <w:rPr>
          <w:sz w:val="28"/>
          <w:szCs w:val="28"/>
        </w:rPr>
        <w:t xml:space="preserve">»,   за исключением  тех,  которые в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шли  в вышеуказанный перечень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/>
    </w:p>
    <w:p>
      <w:pPr>
        <w:pStyle w:val="814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отчет о предоставлении и погашении бюджетных кредитов; </w:t>
      </w:r>
      <w:r>
        <w:rPr>
          <w:sz w:val="28"/>
          <w:szCs w:val="28"/>
        </w:rPr>
      </w:r>
      <w:r/>
    </w:p>
    <w:p>
      <w:pPr>
        <w:pStyle w:val="814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структура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долга </w:t>
      </w:r>
      <w:r>
        <w:rPr>
          <w:sz w:val="28"/>
          <w:szCs w:val="28"/>
        </w:rPr>
        <w:t xml:space="preserve">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бирской области</w:t>
      </w:r>
      <w:r>
        <w:rPr>
          <w:sz w:val="28"/>
          <w:szCs w:val="28"/>
        </w:rPr>
        <w:t xml:space="preserve"> по состоянию на первое число года, следующего за о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четным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pStyle w:val="814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тчет об исполнении муниципальных программ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указанием всех источников финансирования</w:t>
      </w:r>
      <w:r>
        <w:rPr>
          <w:sz w:val="28"/>
          <w:szCs w:val="28"/>
        </w:rPr>
        <w:t xml:space="preserve"> в 20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814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/>
    </w:p>
    <w:p>
      <w:pPr>
        <w:pStyle w:val="814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</w:r>
      <w:r/>
    </w:p>
    <w:p>
      <w:pPr>
        <w:pStyle w:val="8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бирской области    </w:t>
      </w:r>
      <w:r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Е.Г.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Артюхов</w:t>
      </w:r>
      <w:r/>
    </w:p>
    <w:sectPr>
      <w:footnotePr/>
      <w:endnotePr/>
      <w:type w:val="nextPage"/>
      <w:pgSz w:w="11906" w:h="16838" w:orient="portrait"/>
      <w:pgMar w:top="1077" w:right="1106" w:bottom="720" w:left="1797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814"/>
        <w:ind w:left="4329" w:hanging="360"/>
        <w:tabs>
          <w:tab w:val="num" w:pos="432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14"/>
        <w:ind w:left="2149" w:hanging="360"/>
        <w:tabs>
          <w:tab w:val="num" w:pos="214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14"/>
        <w:ind w:left="2869" w:hanging="180"/>
        <w:tabs>
          <w:tab w:val="num" w:pos="286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14"/>
        <w:ind w:left="3589" w:hanging="360"/>
        <w:tabs>
          <w:tab w:val="num" w:pos="358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14"/>
        <w:ind w:left="4309" w:hanging="360"/>
        <w:tabs>
          <w:tab w:val="num" w:pos="430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14"/>
        <w:ind w:left="5029" w:hanging="180"/>
        <w:tabs>
          <w:tab w:val="num" w:pos="502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14"/>
        <w:ind w:left="5749" w:hanging="360"/>
        <w:tabs>
          <w:tab w:val="num" w:pos="574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14"/>
        <w:ind w:left="6469" w:hanging="360"/>
        <w:tabs>
          <w:tab w:val="num" w:pos="646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14"/>
        <w:ind w:left="7189" w:hanging="180"/>
        <w:tabs>
          <w:tab w:val="num" w:pos="7189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4"/>
    <w:next w:val="814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4"/>
    <w:next w:val="814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4"/>
    <w:next w:val="814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4"/>
    <w:next w:val="814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4"/>
    <w:next w:val="814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4"/>
    <w:next w:val="814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4"/>
    <w:next w:val="814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4"/>
    <w:next w:val="814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4"/>
    <w:next w:val="814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List Paragraph"/>
    <w:basedOn w:val="814"/>
    <w:uiPriority w:val="34"/>
    <w:qFormat/>
    <w:pPr>
      <w:contextualSpacing/>
      <w:ind w:left="720"/>
    </w:pPr>
  </w:style>
  <w:style w:type="paragraph" w:styleId="655">
    <w:name w:val="No Spacing"/>
    <w:uiPriority w:val="1"/>
    <w:qFormat/>
    <w:pPr>
      <w:spacing w:before="0" w:after="0" w:line="240" w:lineRule="auto"/>
    </w:pPr>
  </w:style>
  <w:style w:type="paragraph" w:styleId="656">
    <w:name w:val="Title"/>
    <w:basedOn w:val="814"/>
    <w:next w:val="814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link w:val="656"/>
    <w:uiPriority w:val="10"/>
    <w:rPr>
      <w:sz w:val="48"/>
      <w:szCs w:val="48"/>
    </w:rPr>
  </w:style>
  <w:style w:type="paragraph" w:styleId="658">
    <w:name w:val="Subtitle"/>
    <w:basedOn w:val="814"/>
    <w:next w:val="814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link w:val="658"/>
    <w:uiPriority w:val="11"/>
    <w:rPr>
      <w:sz w:val="24"/>
      <w:szCs w:val="24"/>
    </w:rPr>
  </w:style>
  <w:style w:type="paragraph" w:styleId="660">
    <w:name w:val="Quote"/>
    <w:basedOn w:val="814"/>
    <w:next w:val="814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4"/>
    <w:next w:val="814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paragraph" w:styleId="664">
    <w:name w:val="Header"/>
    <w:basedOn w:val="814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Header Char"/>
    <w:link w:val="664"/>
    <w:uiPriority w:val="99"/>
  </w:style>
  <w:style w:type="paragraph" w:styleId="666">
    <w:name w:val="Footer"/>
    <w:basedOn w:val="814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Footer Char"/>
    <w:link w:val="666"/>
    <w:uiPriority w:val="99"/>
  </w:style>
  <w:style w:type="paragraph" w:styleId="668">
    <w:name w:val="Caption"/>
    <w:basedOn w:val="814"/>
    <w:next w:val="8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666"/>
    <w:uiPriority w:val="99"/>
  </w:style>
  <w:style w:type="table" w:styleId="67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6">
    <w:name w:val="Hyperlink"/>
    <w:uiPriority w:val="99"/>
    <w:unhideWhenUsed/>
    <w:rPr>
      <w:color w:val="0000ff" w:themeColor="hyperlink"/>
      <w:u w:val="single"/>
    </w:rPr>
  </w:style>
  <w:style w:type="paragraph" w:styleId="797">
    <w:name w:val="footnote text"/>
    <w:basedOn w:val="814"/>
    <w:link w:val="798"/>
    <w:uiPriority w:val="99"/>
    <w:semiHidden/>
    <w:unhideWhenUsed/>
    <w:pPr>
      <w:spacing w:after="40" w:line="240" w:lineRule="auto"/>
    </w:pPr>
    <w:rPr>
      <w:sz w:val="18"/>
    </w:rPr>
  </w:style>
  <w:style w:type="character" w:styleId="798">
    <w:name w:val="Footnote Text Char"/>
    <w:link w:val="797"/>
    <w:uiPriority w:val="99"/>
    <w:rPr>
      <w:sz w:val="18"/>
    </w:rPr>
  </w:style>
  <w:style w:type="character" w:styleId="799">
    <w:name w:val="footnote reference"/>
    <w:uiPriority w:val="99"/>
    <w:unhideWhenUsed/>
    <w:rPr>
      <w:vertAlign w:val="superscript"/>
    </w:rPr>
  </w:style>
  <w:style w:type="paragraph" w:styleId="800">
    <w:name w:val="endnote text"/>
    <w:basedOn w:val="814"/>
    <w:link w:val="801"/>
    <w:uiPriority w:val="99"/>
    <w:semiHidden/>
    <w:unhideWhenUsed/>
    <w:pPr>
      <w:spacing w:after="0" w:line="240" w:lineRule="auto"/>
    </w:pPr>
    <w:rPr>
      <w:sz w:val="20"/>
    </w:rPr>
  </w:style>
  <w:style w:type="character" w:styleId="801">
    <w:name w:val="Endnote Text Char"/>
    <w:link w:val="800"/>
    <w:uiPriority w:val="99"/>
    <w:rPr>
      <w:sz w:val="20"/>
    </w:rPr>
  </w:style>
  <w:style w:type="character" w:styleId="802">
    <w:name w:val="endnote reference"/>
    <w:uiPriority w:val="99"/>
    <w:semiHidden/>
    <w:unhideWhenUsed/>
    <w:rPr>
      <w:vertAlign w:val="superscript"/>
    </w:rPr>
  </w:style>
  <w:style w:type="paragraph" w:styleId="803">
    <w:name w:val="toc 1"/>
    <w:basedOn w:val="814"/>
    <w:next w:val="814"/>
    <w:uiPriority w:val="39"/>
    <w:unhideWhenUsed/>
    <w:pPr>
      <w:ind w:left="0" w:right="0" w:firstLine="0"/>
      <w:spacing w:after="57"/>
    </w:pPr>
  </w:style>
  <w:style w:type="paragraph" w:styleId="804">
    <w:name w:val="toc 2"/>
    <w:basedOn w:val="814"/>
    <w:next w:val="814"/>
    <w:uiPriority w:val="39"/>
    <w:unhideWhenUsed/>
    <w:pPr>
      <w:ind w:left="283" w:right="0" w:firstLine="0"/>
      <w:spacing w:after="57"/>
    </w:pPr>
  </w:style>
  <w:style w:type="paragraph" w:styleId="805">
    <w:name w:val="toc 3"/>
    <w:basedOn w:val="814"/>
    <w:next w:val="814"/>
    <w:uiPriority w:val="39"/>
    <w:unhideWhenUsed/>
    <w:pPr>
      <w:ind w:left="567" w:right="0" w:firstLine="0"/>
      <w:spacing w:after="57"/>
    </w:pPr>
  </w:style>
  <w:style w:type="paragraph" w:styleId="806">
    <w:name w:val="toc 4"/>
    <w:basedOn w:val="814"/>
    <w:next w:val="814"/>
    <w:uiPriority w:val="39"/>
    <w:unhideWhenUsed/>
    <w:pPr>
      <w:ind w:left="850" w:right="0" w:firstLine="0"/>
      <w:spacing w:after="57"/>
    </w:pPr>
  </w:style>
  <w:style w:type="paragraph" w:styleId="807">
    <w:name w:val="toc 5"/>
    <w:basedOn w:val="814"/>
    <w:next w:val="814"/>
    <w:uiPriority w:val="39"/>
    <w:unhideWhenUsed/>
    <w:pPr>
      <w:ind w:left="1134" w:right="0" w:firstLine="0"/>
      <w:spacing w:after="57"/>
    </w:pPr>
  </w:style>
  <w:style w:type="paragraph" w:styleId="808">
    <w:name w:val="toc 6"/>
    <w:basedOn w:val="814"/>
    <w:next w:val="814"/>
    <w:uiPriority w:val="39"/>
    <w:unhideWhenUsed/>
    <w:pPr>
      <w:ind w:left="1417" w:right="0" w:firstLine="0"/>
      <w:spacing w:after="57"/>
    </w:pPr>
  </w:style>
  <w:style w:type="paragraph" w:styleId="809">
    <w:name w:val="toc 7"/>
    <w:basedOn w:val="814"/>
    <w:next w:val="814"/>
    <w:uiPriority w:val="39"/>
    <w:unhideWhenUsed/>
    <w:pPr>
      <w:ind w:left="1701" w:right="0" w:firstLine="0"/>
      <w:spacing w:after="57"/>
    </w:pPr>
  </w:style>
  <w:style w:type="paragraph" w:styleId="810">
    <w:name w:val="toc 8"/>
    <w:basedOn w:val="814"/>
    <w:next w:val="814"/>
    <w:uiPriority w:val="39"/>
    <w:unhideWhenUsed/>
    <w:pPr>
      <w:ind w:left="1984" w:right="0" w:firstLine="0"/>
      <w:spacing w:after="57"/>
    </w:pPr>
  </w:style>
  <w:style w:type="paragraph" w:styleId="811">
    <w:name w:val="toc 9"/>
    <w:basedOn w:val="814"/>
    <w:next w:val="814"/>
    <w:uiPriority w:val="39"/>
    <w:unhideWhenUsed/>
    <w:pPr>
      <w:ind w:left="2268" w:right="0" w:firstLine="0"/>
      <w:spacing w:after="57"/>
    </w:pPr>
  </w:style>
  <w:style w:type="paragraph" w:styleId="812">
    <w:name w:val="TOC Heading"/>
    <w:uiPriority w:val="39"/>
    <w:unhideWhenUsed/>
  </w:style>
  <w:style w:type="paragraph" w:styleId="813">
    <w:name w:val="table of figures"/>
    <w:basedOn w:val="814"/>
    <w:next w:val="814"/>
    <w:uiPriority w:val="99"/>
    <w:unhideWhenUsed/>
    <w:pPr>
      <w:spacing w:after="0" w:afterAutospacing="0"/>
    </w:pPr>
  </w:style>
  <w:style w:type="paragraph" w:styleId="814" w:default="1">
    <w:name w:val="Normal"/>
    <w:next w:val="814"/>
    <w:link w:val="814"/>
    <w:qFormat/>
    <w:rPr>
      <w:sz w:val="24"/>
      <w:szCs w:val="24"/>
      <w:lang w:val="ru-RU" w:eastAsia="ru-RU" w:bidi="ar-SA"/>
    </w:rPr>
  </w:style>
  <w:style w:type="paragraph" w:styleId="815">
    <w:name w:val="Заголовок 1"/>
    <w:basedOn w:val="814"/>
    <w:next w:val="814"/>
    <w:link w:val="814"/>
    <w:qFormat/>
    <w:pPr>
      <w:jc w:val="center"/>
      <w:keepNext/>
      <w:outlineLvl w:val="0"/>
    </w:pPr>
    <w:rPr>
      <w:b/>
      <w:sz w:val="28"/>
      <w:szCs w:val="20"/>
    </w:rPr>
  </w:style>
  <w:style w:type="paragraph" w:styleId="816">
    <w:name w:val="Заголовок 2"/>
    <w:basedOn w:val="814"/>
    <w:next w:val="814"/>
    <w:link w:val="814"/>
    <w:qFormat/>
    <w:pPr>
      <w:jc w:val="center"/>
      <w:keepNext/>
      <w:outlineLvl w:val="1"/>
    </w:pPr>
    <w:rPr>
      <w:sz w:val="28"/>
      <w:szCs w:val="20"/>
    </w:rPr>
  </w:style>
  <w:style w:type="character" w:styleId="817">
    <w:name w:val="Основной шрифт абзаца, Знак Знак1"/>
    <w:next w:val="817"/>
    <w:link w:val="824"/>
    <w:semiHidden/>
  </w:style>
  <w:style w:type="table" w:styleId="818">
    <w:name w:val="Обычная таблица"/>
    <w:next w:val="818"/>
    <w:link w:val="814"/>
    <w:semiHidden/>
    <w:tblPr/>
  </w:style>
  <w:style w:type="numbering" w:styleId="819">
    <w:name w:val="Нет списка"/>
    <w:next w:val="819"/>
    <w:link w:val="814"/>
    <w:semiHidden/>
  </w:style>
  <w:style w:type="paragraph" w:styleId="820">
    <w:name w:val="Нижний колонтитул"/>
    <w:basedOn w:val="814"/>
    <w:next w:val="820"/>
    <w:link w:val="814"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821">
    <w:name w:val="Текст выноски"/>
    <w:basedOn w:val="814"/>
    <w:next w:val="821"/>
    <w:link w:val="814"/>
    <w:semiHidden/>
    <w:rPr>
      <w:rFonts w:ascii="Tahoma" w:hAnsi="Tahoma" w:cs="Tahoma"/>
      <w:sz w:val="16"/>
      <w:szCs w:val="16"/>
    </w:rPr>
  </w:style>
  <w:style w:type="paragraph" w:styleId="822">
    <w:name w:val="Основной текст, Знак, Знак1 Знак,Основной текст1,bt,Основной текст Знак"/>
    <w:basedOn w:val="814"/>
    <w:next w:val="822"/>
    <w:link w:val="823"/>
    <w:pPr>
      <w:jc w:val="both"/>
    </w:pPr>
    <w:rPr>
      <w:sz w:val="28"/>
      <w:szCs w:val="20"/>
    </w:rPr>
  </w:style>
  <w:style w:type="character" w:styleId="823">
    <w:name w:val="Основной текст Знак1, Знак Знак, Знак1 Знак Знак,Основной текст1 Знак,bt Знак,Основной текст Знак Знак"/>
    <w:next w:val="823"/>
    <w:link w:val="822"/>
    <w:semiHidden/>
    <w:rPr>
      <w:sz w:val="28"/>
      <w:lang w:val="ru-RU" w:eastAsia="ru-RU" w:bidi="ar-SA"/>
    </w:rPr>
  </w:style>
  <w:style w:type="paragraph" w:styleId="824">
    <w:name w:val="UserStyle_0"/>
    <w:basedOn w:val="814"/>
    <w:next w:val="824"/>
    <w:link w:val="81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25">
    <w:name w:val="Верхний колонтитул"/>
    <w:basedOn w:val="814"/>
    <w:next w:val="825"/>
    <w:link w:val="827"/>
    <w:pPr>
      <w:tabs>
        <w:tab w:val="center" w:pos="4153" w:leader="none"/>
        <w:tab w:val="right" w:pos="8306" w:leader="none"/>
      </w:tabs>
    </w:pPr>
    <w:rPr>
      <w:sz w:val="28"/>
      <w:szCs w:val="20"/>
    </w:rPr>
  </w:style>
  <w:style w:type="character" w:styleId="826">
    <w:name w:val="Гиперссылка"/>
    <w:next w:val="826"/>
    <w:link w:val="814"/>
    <w:rPr>
      <w:color w:val="0000ff"/>
      <w:u w:val="single"/>
    </w:rPr>
  </w:style>
  <w:style w:type="character" w:styleId="827">
    <w:name w:val="Верхний колонтитул Знак"/>
    <w:next w:val="827"/>
    <w:link w:val="825"/>
    <w:semiHidden/>
    <w:rPr>
      <w:sz w:val="28"/>
      <w:lang w:val="ru-RU" w:eastAsia="ru-RU" w:bidi="ar-SA"/>
    </w:rPr>
  </w:style>
  <w:style w:type="paragraph" w:styleId="828">
    <w:name w:val="ConsNormal"/>
    <w:next w:val="828"/>
    <w:link w:val="814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character" w:styleId="829" w:default="1">
    <w:name w:val="Default Paragraph Font"/>
    <w:uiPriority w:val="1"/>
    <w:semiHidden/>
    <w:unhideWhenUsed/>
  </w:style>
  <w:style w:type="numbering" w:styleId="830" w:default="1">
    <w:name w:val="No List"/>
    <w:uiPriority w:val="99"/>
    <w:semiHidden/>
    <w:unhideWhenUsed/>
  </w:style>
  <w:style w:type="table" w:styleId="83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admkolyvan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g.kibal</dc:creator>
  <cp:revision>4</cp:revision>
  <dcterms:created xsi:type="dcterms:W3CDTF">2021-04-28T10:28:00Z</dcterms:created>
  <dcterms:modified xsi:type="dcterms:W3CDTF">2024-05-02T07:14:10Z</dcterms:modified>
  <cp:version>1048576</cp:version>
</cp:coreProperties>
</file>